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199.0" w:type="dxa"/>
        <w:jc w:val="center"/>
        <w:tblLayout w:type="fixed"/>
        <w:tblLook w:val="0000"/>
      </w:tblPr>
      <w:tblGrid>
        <w:gridCol w:w="820"/>
        <w:gridCol w:w="82"/>
        <w:gridCol w:w="7297"/>
        <w:tblGridChange w:id="0">
          <w:tblGrid>
            <w:gridCol w:w="820"/>
            <w:gridCol w:w="82"/>
            <w:gridCol w:w="7297"/>
          </w:tblGrid>
        </w:tblGridChange>
      </w:tblGrid>
      <w:tr>
        <w:trPr>
          <w:cantSplit w:val="0"/>
          <w:tblHeader w:val="0"/>
        </w:trPr>
        <w:tc>
          <w:tcPr>
            <w:gridSpan w:val="3"/>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嘉義市政府及所屬機關學校提供政府資訊收費標準</w:t>
            </w: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中華民國97年7月16日嘉義市政府</w:t>
              <w:br w:type="textWrapping"/>
              <w:t xml:space="preserve">府行法字第0970105682號令發布</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1 條</w:t>
            </w: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本標準依政府資訊公開法第二十二條第二項規定訂定之。</w:t>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2 條</w:t>
            </w:r>
            <w:r w:rsidDel="00000000" w:rsidR="00000000" w:rsidRPr="00000000">
              <w:rPr>
                <w:rtl w:val="0"/>
              </w:rPr>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申請提供政府資訊經核准者，除其他法令另有規定外，依本標準收費。</w:t>
            </w:r>
          </w:p>
        </w:tc>
      </w:tr>
      <w:tr>
        <w:trPr>
          <w:cantSplit w:val="0"/>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3 條</w:t>
            </w: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閱覽、抄錄或攝影政府資訊，每二小時收取費用新臺幣二十元；不足二小時，以二小時計算。</w:t>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4 條</w:t>
            </w:r>
            <w:r w:rsidDel="00000000" w:rsidR="00000000" w:rsidRPr="00000000">
              <w:rPr>
                <w:rtl w:val="0"/>
              </w:rPr>
            </w:r>
          </w:p>
        </w:tc>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重製或複製政府資訊之收費基準如附表，收取費用。</w:t>
              <w:br w:type="textWrapping"/>
              <w:t xml:space="preserve">前項收費標準表未明定之項目，按重製或複製工本費，收取費用。</w:t>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5 條</w:t>
            </w:r>
            <w:r w:rsidDel="00000000" w:rsidR="00000000" w:rsidRPr="00000000">
              <w:rPr>
                <w:rtl w:val="0"/>
              </w:rPr>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重製或複製政府資訊，如另需提供郵寄服務者，其郵遞費用以實支數額計算，每次並加收處理費新臺幣五十元。</w:t>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6 條</w:t>
            </w: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申請政府資訊供學術研究或公益用途者，於申請時應檢附相關證明文件，經核准後，除郵遞費用仍以實支數額計算外，其餘費用，減半徵收。</w:t>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7 條</w:t>
            </w: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申請之政府資訊屬規費法第十二條第一款所定辦理業務或教育宣導資料者，得免費提供。</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8 條</w:t>
            </w: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依行政程序法第四十六條規定申請閱覽、抄寫、複印或攝影有關資料或卷宗者，準用本標準之規定收費。</w:t>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 9 條</w:t>
            </w: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本標準所定之費用，其收取應依預算程序辦理。</w:t>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第10條 </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本標準自發布日施行。</w:t>
            </w:r>
          </w:p>
        </w:tc>
      </w:tr>
      <w:tr>
        <w:trPr>
          <w:cantSplit w:val="0"/>
          <w:tblHeader w:val="0"/>
        </w:trPr>
        <w:tc>
          <w:tcPr>
            <w:gridSpan w:val="3"/>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 </w:t>
            </w:r>
          </w:p>
        </w:tc>
      </w:tr>
      <w:tr>
        <w:trPr>
          <w:cantSplit w:val="0"/>
          <w:tblHeader w:val="0"/>
        </w:trPr>
        <w:tc>
          <w:tcPr>
            <w:gridSpan w:val="3"/>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1"/>
                <w:i w:val="0"/>
                <w:smallCaps w:val="0"/>
                <w:strike w:val="0"/>
                <w:color w:val="000000"/>
                <w:sz w:val="19"/>
                <w:szCs w:val="19"/>
                <w:u w:val="none"/>
                <w:shd w:fill="auto" w:val="clear"/>
                <w:vertAlign w:val="baseline"/>
                <w:rtl w:val="0"/>
              </w:rPr>
              <w:t xml:space="preserve">附表：嘉義市政府資訊重製或複製收費標準表</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bl>
            <w:tblPr>
              <w:tblStyle w:val="Table2"/>
              <w:tblW w:w="7976.0" w:type="dxa"/>
              <w:jc w:val="right"/>
              <w:tblBorders>
                <w:top w:color="3e836f" w:space="0" w:sz="6" w:val="single"/>
                <w:left w:color="3e836f" w:space="0" w:sz="6" w:val="single"/>
                <w:bottom w:color="3e836f" w:space="0" w:sz="6" w:val="single"/>
                <w:right w:color="3e836f" w:space="0" w:sz="6" w:val="single"/>
                <w:insideH w:color="000000" w:space="0" w:sz="0" w:val="nil"/>
                <w:insideV w:color="000000" w:space="0" w:sz="0" w:val="nil"/>
              </w:tblBorders>
              <w:tblLayout w:type="fixed"/>
              <w:tblLook w:val="0000"/>
            </w:tblPr>
            <w:tblGrid>
              <w:gridCol w:w="1197"/>
              <w:gridCol w:w="1595"/>
              <w:gridCol w:w="1595"/>
              <w:gridCol w:w="1595"/>
              <w:gridCol w:w="1994"/>
              <w:tblGridChange w:id="0">
                <w:tblGrid>
                  <w:gridCol w:w="1197"/>
                  <w:gridCol w:w="1595"/>
                  <w:gridCol w:w="1595"/>
                  <w:gridCol w:w="1595"/>
                  <w:gridCol w:w="1994"/>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a7e5cb"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dbdbdb"/>
                      <w:sz w:val="13"/>
                      <w:szCs w:val="13"/>
                      <w:u w:val="none"/>
                      <w:shd w:fill="auto" w:val="clear"/>
                      <w:vertAlign w:val="baseline"/>
                    </w:rPr>
                  </w:pPr>
                  <w:r w:rsidDel="00000000" w:rsidR="00000000" w:rsidRPr="00000000">
                    <w:rPr>
                      <w:rFonts w:ascii="PMingLiu" w:cs="PMingLiu" w:eastAsia="PMingLiu" w:hAnsi="PMingLiu"/>
                      <w:b w:val="0"/>
                      <w:i w:val="0"/>
                      <w:smallCaps w:val="0"/>
                      <w:strike w:val="0"/>
                      <w:color w:val="dbdbdb"/>
                      <w:sz w:val="13"/>
                      <w:szCs w:val="13"/>
                      <w:u w:val="none"/>
                      <w:shd w:fill="auto" w:val="clear"/>
                      <w:vertAlign w:val="baseline"/>
                      <w:rtl w:val="0"/>
                    </w:rPr>
                    <w:t xml:space="preserve">嘉義市政府資訊重製或複製收費標準表</w:t>
                  </w:r>
                </w:p>
              </w:tc>
            </w:tr>
            <w:tr>
              <w:trPr>
                <w:cantSplit w:val="0"/>
                <w:tblHeader w:val="0"/>
              </w:trPr>
              <w:tc>
                <w:tcPr>
                  <w:tcBorders>
                    <w:top w:color="3e836f" w:space="0" w:sz="6" w:val="single"/>
                    <w:left w:color="3e836f" w:space="0" w:sz="6" w:val="single"/>
                    <w:bottom w:color="3e836f" w:space="0" w:sz="6" w:val="single"/>
                    <w:right w:color="3e836f" w:space="0" w:sz="6" w:val="single"/>
                  </w:tcBorders>
                  <w:shd w:fill="a7e5cb"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1"/>
                      <w:szCs w:val="21"/>
                      <w:u w:val="none"/>
                      <w:shd w:fill="auto" w:val="clear"/>
                      <w:vertAlign w:val="baseline"/>
                    </w:rPr>
                  </w:pPr>
                  <w:r w:rsidDel="00000000" w:rsidR="00000000" w:rsidRPr="00000000">
                    <w:rPr>
                      <w:rFonts w:ascii="PMingLiu" w:cs="PMingLiu" w:eastAsia="PMingLiu" w:hAnsi="PMingLiu"/>
                      <w:b w:val="1"/>
                      <w:i w:val="0"/>
                      <w:smallCaps w:val="0"/>
                      <w:strike w:val="0"/>
                      <w:color w:val="000000"/>
                      <w:sz w:val="21"/>
                      <w:szCs w:val="21"/>
                      <w:u w:val="none"/>
                      <w:shd w:fill="auto" w:val="clear"/>
                      <w:vertAlign w:val="baseline"/>
                      <w:rtl w:val="0"/>
                    </w:rPr>
                    <w:t xml:space="preserve">政府資訊</w:t>
                    <w:br w:type="textWrapping"/>
                    <w:t xml:space="preserve">外觀型式</w:t>
                  </w: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a7e5cb"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1"/>
                      <w:szCs w:val="21"/>
                      <w:u w:val="none"/>
                      <w:shd w:fill="auto" w:val="clear"/>
                      <w:vertAlign w:val="baseline"/>
                    </w:rPr>
                  </w:pPr>
                  <w:r w:rsidDel="00000000" w:rsidR="00000000" w:rsidRPr="00000000">
                    <w:rPr>
                      <w:rFonts w:ascii="PMingLiu" w:cs="PMingLiu" w:eastAsia="PMingLiu" w:hAnsi="PMingLiu"/>
                      <w:b w:val="1"/>
                      <w:i w:val="0"/>
                      <w:smallCaps w:val="0"/>
                      <w:strike w:val="0"/>
                      <w:color w:val="000000"/>
                      <w:sz w:val="21"/>
                      <w:szCs w:val="21"/>
                      <w:u w:val="none"/>
                      <w:shd w:fill="auto" w:val="clear"/>
                      <w:vertAlign w:val="baseline"/>
                      <w:rtl w:val="0"/>
                    </w:rPr>
                    <w:t xml:space="preserve">重製或複製方式</w:t>
                  </w: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a7e5cb"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1"/>
                      <w:szCs w:val="21"/>
                      <w:u w:val="none"/>
                      <w:shd w:fill="auto" w:val="clear"/>
                      <w:vertAlign w:val="baseline"/>
                    </w:rPr>
                  </w:pPr>
                  <w:r w:rsidDel="00000000" w:rsidR="00000000" w:rsidRPr="00000000">
                    <w:rPr>
                      <w:rFonts w:ascii="PMingLiu" w:cs="PMingLiu" w:eastAsia="PMingLiu" w:hAnsi="PMingLiu"/>
                      <w:b w:val="1"/>
                      <w:i w:val="0"/>
                      <w:smallCaps w:val="0"/>
                      <w:strike w:val="0"/>
                      <w:color w:val="000000"/>
                      <w:sz w:val="21"/>
                      <w:szCs w:val="21"/>
                      <w:u w:val="none"/>
                      <w:shd w:fill="auto" w:val="clear"/>
                      <w:vertAlign w:val="baseline"/>
                      <w:rtl w:val="0"/>
                    </w:rPr>
                    <w:t xml:space="preserve">重製或複製格式</w:t>
                  </w: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a7e5cb"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1"/>
                      <w:szCs w:val="21"/>
                      <w:u w:val="none"/>
                      <w:shd w:fill="auto" w:val="clear"/>
                      <w:vertAlign w:val="baseline"/>
                    </w:rPr>
                  </w:pPr>
                  <w:r w:rsidDel="00000000" w:rsidR="00000000" w:rsidRPr="00000000">
                    <w:rPr>
                      <w:rFonts w:ascii="PMingLiu" w:cs="PMingLiu" w:eastAsia="PMingLiu" w:hAnsi="PMingLiu"/>
                      <w:b w:val="1"/>
                      <w:i w:val="0"/>
                      <w:smallCaps w:val="0"/>
                      <w:strike w:val="0"/>
                      <w:color w:val="000000"/>
                      <w:sz w:val="21"/>
                      <w:szCs w:val="21"/>
                      <w:u w:val="none"/>
                      <w:shd w:fill="auto" w:val="clear"/>
                      <w:vertAlign w:val="baseline"/>
                      <w:rtl w:val="0"/>
                    </w:rPr>
                    <w:t xml:space="preserve">收費標準</w:t>
                    <w:br w:type="textWrapping"/>
                    <w:t xml:space="preserve">(以新臺幣計價)</w:t>
                  </w: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a7e5cb"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1"/>
                      <w:szCs w:val="21"/>
                      <w:u w:val="none"/>
                      <w:shd w:fill="auto" w:val="clear"/>
                      <w:vertAlign w:val="baseline"/>
                    </w:rPr>
                  </w:pPr>
                  <w:r w:rsidDel="00000000" w:rsidR="00000000" w:rsidRPr="00000000">
                    <w:rPr>
                      <w:rFonts w:ascii="PMingLiu" w:cs="PMingLiu" w:eastAsia="PMingLiu" w:hAnsi="PMingLiu"/>
                      <w:b w:val="1"/>
                      <w:i w:val="0"/>
                      <w:smallCaps w:val="0"/>
                      <w:strike w:val="0"/>
                      <w:color w:val="000000"/>
                      <w:sz w:val="21"/>
                      <w:szCs w:val="21"/>
                      <w:u w:val="none"/>
                      <w:shd w:fill="auto" w:val="clear"/>
                      <w:vertAlign w:val="baseline"/>
                      <w:rtl w:val="0"/>
                    </w:rPr>
                    <w:t xml:space="preserve">備註</w:t>
                  </w:r>
                  <w:r w:rsidDel="00000000" w:rsidR="00000000" w:rsidRPr="00000000">
                    <w:rPr>
                      <w:rtl w:val="0"/>
                    </w:rPr>
                  </w:r>
                </w:p>
              </w:tc>
            </w:tr>
            <w:tr>
              <w:trPr>
                <w:cantSplit w:val="1"/>
                <w:tblHeader w:val="0"/>
              </w:trPr>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紙張</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影印機</w:t>
                    <w:br w:type="textWrapping"/>
                    <w:t xml:space="preserve">黑白複印</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B4(含)尺寸以下</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每張二元</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A3 尺寸</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每張三元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影印機</w:t>
                    <w:br w:type="textWrapping"/>
                    <w:t xml:space="preserve">彩色複印</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B4(含)尺寸以下</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每張十元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A3 尺寸</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每張十五元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restart"/>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圖像</w:t>
                  </w:r>
                </w:p>
              </w:tc>
              <w:tc>
                <w:tcPr>
                  <w:vMerge w:val="restart"/>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沖印</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3×5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每張八十元</w:t>
                  </w:r>
                </w:p>
              </w:tc>
              <w:tc>
                <w:tcPr>
                  <w:vMerge w:val="restart"/>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為保護圖像原件，圖像之沖印，以其正片、負片或電子影像檔等複製品為之為限。如圖像未有複製品時，則應先予翻拍或掃描，再以其複製品沖印之。</w:t>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4×6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每張一百元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5×7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每張一百五十元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8×10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每張一百八十元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10×12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每張六百元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11×14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每張七百五十元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16×20 吋</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每張九百元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電子檔案</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紙張黑白列印輸出</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B4(含)尺寸以下</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每張二元</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一、電子檔案係指圖像檔及文字影像檔。</w:t>
                    <w:br w:type="textWrapping"/>
                    <w:t xml:space="preserve">二、電子儲存媒體離線交付費用不含儲存媒體本身之費用。 </w:t>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A3 尺寸</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每張三元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紙張彩色列印輸出</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B4(含)尺寸以下 </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每張十元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A3 尺寸</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每張十五元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相紙列印輸出</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A4(含)尺寸以下 </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每張三十元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B4(含)尺寸以上</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每張六十元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電子郵件傳送</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檔案格式</w:t>
                    <w:br w:type="textWrapping"/>
                    <w:t xml:space="preserve">由機關自行決定</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換算成A4頁數，</w:t>
                    <w:br w:type="textWrapping"/>
                    <w:t xml:space="preserve">每頁二元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電子儲存媒體</w:t>
                    <w:br w:type="textWrapping"/>
                    <w:t xml:space="preserve">離線交付</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restart"/>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錄音帶</w:t>
                  </w:r>
                </w:p>
              </w:tc>
              <w:tc>
                <w:tcPr>
                  <w:vMerge w:val="restart"/>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拷貝</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三十分鐘帶</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每卷九十元</w:t>
                  </w:r>
                </w:p>
              </w:tc>
              <w:tc>
                <w:tcPr>
                  <w:vMerge w:val="restart"/>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錄影帶重製或複製各項計價標準不含空白帶本身之費用。</w:t>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三十一分鐘</w:t>
                    <w:br w:type="textWrapping"/>
                    <w:t xml:space="preserve">至六十分鐘帶</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每卷一百二十元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六十一分鐘</w:t>
                    <w:br w:type="textWrapping"/>
                    <w:t xml:space="preserve">至九十分鐘帶</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每卷一百八十元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九十一分鐘以上</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每卷二百元</w:t>
                  </w:r>
                </w:p>
              </w:tc>
              <w:tc>
                <w:tcPr>
                  <w:vMerge w:val="continue"/>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錄影帶</w:t>
                    <w:br w:type="textWrapping"/>
                    <w:t xml:space="preserve">(BTC、VHS)</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拷貝</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三十分鐘帶</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每卷一百元</w:t>
                  </w:r>
                </w:p>
              </w:tc>
              <w:tc>
                <w:tcPr>
                  <w:vMerge w:val="restart"/>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錄影帶重製或複製各項計價標準不含空白帶本身之費用。</w:t>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三十一分鐘</w:t>
                    <w:br w:type="textWrapping"/>
                    <w:t xml:space="preserve">至六十分鐘帶</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每卷一百五十元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六十一分鐘</w:t>
                    <w:br w:type="textWrapping"/>
                    <w:t xml:space="preserve">至九十分鐘帶</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每卷二百元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1"/>
                <w:tblHeader w:val="0"/>
              </w:trPr>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九十一分鐘以上</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每卷二百五十元</w:t>
                  </w:r>
                </w:p>
              </w:tc>
              <w:tc>
                <w:tcPr>
                  <w:vMerge w:val="continue"/>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錄影帶</w:t>
                    <w:br w:type="textWrapping"/>
                    <w:t xml:space="preserve">(BTC、VHS)</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轉拷貝DVD</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每片二千五百元</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錄影帶</w:t>
                    <w:br w:type="textWrapping"/>
                    <w:t xml:space="preserve">(BTC、VHS)</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轉拷貝VCD</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每片一千元</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DVD</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拷貝</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每片四十元</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VCD</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拷貝</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每片三十元</w:t>
                  </w:r>
                </w:p>
              </w:tc>
              <w:tc>
                <w:tcPr>
                  <w:tcBorders>
                    <w:top w:color="3e836f" w:space="0" w:sz="6" w:val="single"/>
                    <w:left w:color="3e836f" w:space="0" w:sz="6" w:val="single"/>
                    <w:bottom w:color="3e836f" w:space="0" w:sz="6" w:val="single"/>
                    <w:right w:color="3e836f" w:space="0" w:sz="6" w:val="single"/>
                  </w:tcBorders>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CD</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拷貝</w:t>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c>
                <w:tcPr>
                  <w:tcBorders>
                    <w:top w:color="3e836f" w:space="0" w:sz="6" w:val="single"/>
                    <w:left w:color="3e836f" w:space="0" w:sz="6" w:val="single"/>
                    <w:bottom w:color="3e836f" w:space="0" w:sz="6" w:val="single"/>
                    <w:right w:color="3e836f" w:space="0" w:sz="6" w:val="single"/>
                  </w:tcBorders>
                  <w:shd w:fill="edf7f2"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Fonts w:ascii="PMingLiu" w:cs="PMingLiu" w:eastAsia="PMingLiu" w:hAnsi="PMingLiu"/>
                      <w:b w:val="0"/>
                      <w:i w:val="0"/>
                      <w:smallCaps w:val="0"/>
                      <w:strike w:val="0"/>
                      <w:color w:val="000000"/>
                      <w:sz w:val="19"/>
                      <w:szCs w:val="19"/>
                      <w:u w:val="none"/>
                      <w:shd w:fill="auto" w:val="clear"/>
                      <w:vertAlign w:val="baseline"/>
                      <w:rtl w:val="0"/>
                    </w:rPr>
                    <w:t xml:space="preserve">每片三十元</w:t>
                  </w:r>
                </w:p>
              </w:tc>
              <w:tc>
                <w:tcPr>
                  <w:shd w:fill="edf7f2"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MingLiu"/>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 w:type="table" w:styleId="Table2">
    <w:basedOn w:val="TableNormal"/>
    <w:tblPr>
      <w:tblStyleRowBandSize w:val="1"/>
      <w:tblStyleColBandSize w:val="1"/>
      <w:tblCellMar>
        <w:top w:w="30.0" w:type="dxa"/>
        <w:left w:w="30.0" w:type="dxa"/>
        <w:bottom w:w="3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