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516"/>
        <w:tblW w:w="8675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8"/>
        <w:gridCol w:w="2055"/>
        <w:gridCol w:w="2126"/>
        <w:gridCol w:w="2126"/>
        <w:tblGridChange w:id="0">
          <w:tblGrid>
            <w:gridCol w:w="2368"/>
            <w:gridCol w:w="2055"/>
            <w:gridCol w:w="2126"/>
            <w:gridCol w:w="2126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場地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假  日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時  間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金    額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音樂廳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（非售票）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30,600元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38,600元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（非售票）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27,400元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34,400元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（售票）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43,000元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60,000元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（售票）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39,000元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54,000元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演講廳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8,000元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博物館簡報室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5,000元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會議室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午、晚上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5,000元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午、晚上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4,000元</w:t>
            </w:r>
          </w:p>
        </w:tc>
      </w:tr>
      <w:tr>
        <w:trPr>
          <w:cantSplit w:val="1"/>
          <w:trHeight w:val="43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研習教室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  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4,000元</w:t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5,000元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廣場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(含舞台及戶外中廊）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上、下午、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10,000元</w:t>
            </w:r>
          </w:p>
        </w:tc>
      </w:tr>
      <w:tr>
        <w:trPr>
          <w:cantSplit w:val="1"/>
          <w:trHeight w:val="5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非假日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上、下午、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晚      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8,000元</w:t>
            </w:r>
          </w:p>
        </w:tc>
      </w:tr>
      <w:tr>
        <w:trPr>
          <w:cantSplit w:val="0"/>
          <w:trHeight w:val="4930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1.收費以場次計，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超出一小時每小時另加收新臺幣一千五百元之超時場地費，未滿</w:t>
              <w:br w:type="textWrapping"/>
              <w:t xml:space="preserve"> 一小時以一小時計算。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上午場：09:00－12:00 下午場：14:00－17:00 晚上場：18:00－21:00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(音樂廳19：00-22：00)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2.保證金於活動完畢後，無毀損或短少情事並將場地復原後，無息退還。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A.音樂廳10,000元  B.其他場地3,000元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3.音樂廳史坦威級鋼琴每場次5,000元，演講廳一般級鋼琴每場次2,000元。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4.彩排及裝台以場次為單位，並加收管理費：音樂廳5,000元，其他場地1,000元。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5.繳款方式：可至本局行政科現金繳款，或至金融機構臨櫃匯款，暫不接受網路轉帳。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6.本局匯款帳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號：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戶名：嘉義市政府文化局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銀行：臺灣銀行嘉義分行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帳號： 014-038-09617-2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（需臨櫃匯款）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7.申請應備文件：申請書1份、切結書1份、企劃書或DM 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份。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嘉義市政府文化局場地使用收費基準表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